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D62648" w14:textId="04D8E397" w:rsidR="00B42388" w:rsidRPr="001D0CCE" w:rsidRDefault="00B42388" w:rsidP="00B42388">
      <w:pPr>
        <w:adjustRightInd w:val="0"/>
        <w:snapToGrid w:val="0"/>
        <w:spacing w:line="360" w:lineRule="auto"/>
        <w:jc w:val="left"/>
        <w:rPr>
          <w:rFonts w:ascii="宋体" w:eastAsia="宋体" w:hAnsi="宋体"/>
          <w:color w:val="FF0000"/>
          <w:sz w:val="24"/>
        </w:rPr>
      </w:pPr>
      <w:r w:rsidRPr="001D0CCE">
        <w:rPr>
          <w:rFonts w:ascii="宋体" w:eastAsia="宋体" w:hAnsi="宋体" w:hint="eastAsia"/>
          <w:sz w:val="24"/>
        </w:rPr>
        <w:t>证券代码：</w:t>
      </w:r>
      <w:r w:rsidRPr="001D0CCE">
        <w:rPr>
          <w:rFonts w:ascii="宋体" w:eastAsia="宋体" w:hAnsi="宋体"/>
          <w:sz w:val="24"/>
        </w:rPr>
        <w:t xml:space="preserve">600198         </w:t>
      </w:r>
      <w:r w:rsidRPr="001D0CCE">
        <w:rPr>
          <w:rFonts w:ascii="宋体" w:eastAsia="宋体" w:hAnsi="宋体" w:hint="eastAsia"/>
          <w:sz w:val="24"/>
        </w:rPr>
        <w:t>证券简称：大唐电信</w:t>
      </w:r>
      <w:r w:rsidRPr="001D0CCE">
        <w:rPr>
          <w:rFonts w:ascii="宋体" w:eastAsia="宋体" w:hAnsi="宋体"/>
          <w:sz w:val="24"/>
        </w:rPr>
        <w:t xml:space="preserve">        </w:t>
      </w:r>
      <w:r w:rsidRPr="001D0CCE">
        <w:rPr>
          <w:rFonts w:ascii="宋体" w:eastAsia="宋体" w:hAnsi="宋体" w:hint="eastAsia"/>
          <w:sz w:val="24"/>
        </w:rPr>
        <w:t>公告编号：</w:t>
      </w:r>
      <w:r w:rsidRPr="001D0CCE">
        <w:rPr>
          <w:rFonts w:ascii="宋体" w:eastAsia="宋体" w:hAnsi="宋体"/>
          <w:sz w:val="24"/>
        </w:rPr>
        <w:t>2021-</w:t>
      </w:r>
      <w:r w:rsidR="00FC61CE" w:rsidRPr="001D0CCE">
        <w:rPr>
          <w:rFonts w:ascii="宋体" w:eastAsia="宋体" w:hAnsi="宋体"/>
          <w:sz w:val="24"/>
        </w:rPr>
        <w:t>021</w:t>
      </w:r>
    </w:p>
    <w:p w14:paraId="2C87785E" w14:textId="77777777" w:rsidR="00B42388" w:rsidRPr="00E41620" w:rsidRDefault="00B42388" w:rsidP="00B42388">
      <w:pPr>
        <w:ind w:firstLineChars="200" w:firstLine="640"/>
        <w:jc w:val="center"/>
        <w:rPr>
          <w:rStyle w:val="a7"/>
          <w:rFonts w:ascii="Times New Roman" w:hAnsi="Times New Roman"/>
          <w:color w:val="000000" w:themeColor="text1"/>
          <w:sz w:val="32"/>
          <w:szCs w:val="32"/>
        </w:rPr>
      </w:pPr>
    </w:p>
    <w:p w14:paraId="64216A50" w14:textId="77777777" w:rsidR="00B42388" w:rsidRPr="00E41620" w:rsidRDefault="00B42388" w:rsidP="00B42388">
      <w:pPr>
        <w:ind w:firstLineChars="200" w:firstLine="723"/>
        <w:jc w:val="center"/>
        <w:rPr>
          <w:rStyle w:val="a7"/>
          <w:rFonts w:ascii="黑体" w:eastAsia="黑体" w:hAnsi="黑体"/>
          <w:color w:val="FF0000"/>
          <w:sz w:val="36"/>
          <w:szCs w:val="36"/>
        </w:rPr>
      </w:pPr>
      <w:r w:rsidRPr="00E41620">
        <w:rPr>
          <w:rStyle w:val="a7"/>
          <w:rFonts w:ascii="黑体" w:eastAsia="黑体" w:hAnsi="黑体"/>
          <w:color w:val="FF0000"/>
          <w:sz w:val="36"/>
          <w:szCs w:val="36"/>
        </w:rPr>
        <w:t>大唐电信科技股份有限公司</w:t>
      </w:r>
    </w:p>
    <w:p w14:paraId="15AF522A" w14:textId="77777777" w:rsidR="00B42388" w:rsidRPr="00E41620" w:rsidRDefault="00B42388" w:rsidP="00B42388">
      <w:pPr>
        <w:ind w:firstLineChars="200" w:firstLine="723"/>
        <w:jc w:val="center"/>
        <w:rPr>
          <w:rStyle w:val="a7"/>
          <w:rFonts w:ascii="黑体" w:eastAsia="黑体" w:hAnsi="黑体"/>
          <w:color w:val="FF0000"/>
          <w:sz w:val="36"/>
          <w:szCs w:val="36"/>
        </w:rPr>
      </w:pPr>
      <w:r w:rsidRPr="00E41620">
        <w:rPr>
          <w:rStyle w:val="a7"/>
          <w:rFonts w:ascii="黑体" w:eastAsia="黑体" w:hAnsi="黑体" w:hint="eastAsia"/>
          <w:color w:val="FF0000"/>
          <w:sz w:val="36"/>
          <w:szCs w:val="36"/>
        </w:rPr>
        <w:t>关于就北京证监局《行政监管措施决定书》</w:t>
      </w:r>
    </w:p>
    <w:p w14:paraId="70F879CB" w14:textId="618A6771" w:rsidR="00B42388" w:rsidRPr="00E41620" w:rsidRDefault="00B42388" w:rsidP="00B42388">
      <w:pPr>
        <w:ind w:firstLineChars="200" w:firstLine="723"/>
        <w:jc w:val="center"/>
        <w:rPr>
          <w:rStyle w:val="a7"/>
          <w:rFonts w:ascii="黑体" w:eastAsia="黑体" w:hAnsi="黑体"/>
          <w:color w:val="FF0000"/>
          <w:sz w:val="36"/>
          <w:szCs w:val="36"/>
        </w:rPr>
      </w:pPr>
      <w:r w:rsidRPr="00E41620">
        <w:rPr>
          <w:rStyle w:val="a7"/>
          <w:rFonts w:ascii="黑体" w:eastAsia="黑体" w:hAnsi="黑体" w:hint="eastAsia"/>
          <w:color w:val="FF0000"/>
          <w:sz w:val="36"/>
          <w:szCs w:val="36"/>
        </w:rPr>
        <w:t>进行财务整改的公告</w:t>
      </w:r>
    </w:p>
    <w:p w14:paraId="07654ED2" w14:textId="77777777" w:rsidR="00B42388" w:rsidRPr="00E41620" w:rsidRDefault="00B42388" w:rsidP="00B42388">
      <w:pPr>
        <w:ind w:firstLineChars="200" w:firstLine="723"/>
        <w:jc w:val="center"/>
        <w:rPr>
          <w:rStyle w:val="a7"/>
          <w:rFonts w:ascii="黑体" w:eastAsia="黑体" w:hAnsi="黑体"/>
          <w:color w:val="FF0000"/>
          <w:sz w:val="36"/>
          <w:szCs w:val="36"/>
        </w:rPr>
      </w:pPr>
    </w:p>
    <w:p w14:paraId="548D7B52" w14:textId="77777777" w:rsidR="00B42388" w:rsidRPr="001D0CCE" w:rsidRDefault="00B42388" w:rsidP="00B42388">
      <w:pPr>
        <w:pBdr>
          <w:top w:val="single" w:sz="4" w:space="1" w:color="auto"/>
          <w:left w:val="single" w:sz="4" w:space="4" w:color="auto"/>
          <w:bottom w:val="single" w:sz="4" w:space="1" w:color="auto"/>
          <w:right w:val="single" w:sz="4" w:space="4" w:color="auto"/>
        </w:pBdr>
        <w:adjustRightInd w:val="0"/>
        <w:snapToGrid w:val="0"/>
        <w:spacing w:line="360" w:lineRule="auto"/>
        <w:rPr>
          <w:rFonts w:ascii="宋体" w:eastAsia="宋体" w:hAnsi="宋体"/>
          <w:color w:val="000000"/>
          <w:sz w:val="24"/>
        </w:rPr>
      </w:pPr>
      <w:r w:rsidRPr="001D0CCE">
        <w:rPr>
          <w:rFonts w:ascii="宋体" w:eastAsia="宋体" w:hAnsi="宋体"/>
          <w:color w:val="000000"/>
          <w:sz w:val="24"/>
        </w:rPr>
        <w:t xml:space="preserve">    </w:t>
      </w:r>
      <w:r w:rsidRPr="001D0CCE">
        <w:rPr>
          <w:rFonts w:ascii="宋体" w:eastAsia="宋体" w:hAnsi="宋体" w:hint="eastAsia"/>
          <w:color w:val="000000"/>
          <w:sz w:val="24"/>
        </w:rPr>
        <w:t>本公司董事会及全体董事保证本公告内容不存在任何虚假记载、误导性陈述或者重大遗漏，并对其内容的真实性、准确性和完整性承担个别及连带责任。</w:t>
      </w:r>
    </w:p>
    <w:p w14:paraId="52C0D8FF" w14:textId="77777777" w:rsidR="00B42388" w:rsidRPr="00E41620" w:rsidRDefault="00B42388" w:rsidP="00B42388">
      <w:pPr>
        <w:spacing w:beforeLines="50" w:before="156" w:afterLines="50" w:after="156" w:line="360" w:lineRule="auto"/>
        <w:ind w:leftChars="50" w:left="105" w:rightChars="50" w:right="105" w:firstLine="560"/>
        <w:rPr>
          <w:rFonts w:asciiTheme="minorEastAsia" w:hAnsiTheme="minorEastAsia" w:cs="仿宋_GB2312-WinCharSetFFFF-H"/>
          <w:b/>
          <w:bCs/>
          <w:kern w:val="0"/>
          <w:sz w:val="24"/>
          <w:szCs w:val="30"/>
        </w:rPr>
      </w:pPr>
    </w:p>
    <w:p w14:paraId="63C24A9C" w14:textId="0F9FD839" w:rsidR="00EE3FF8" w:rsidRPr="003211D5" w:rsidRDefault="00EE3FF8" w:rsidP="001D0CCE">
      <w:pPr>
        <w:spacing w:beforeLines="50" w:before="156" w:afterLines="50" w:after="156" w:line="360" w:lineRule="auto"/>
        <w:ind w:leftChars="50" w:left="105" w:rightChars="50" w:right="105" w:firstLineChars="200" w:firstLine="480"/>
        <w:jc w:val="left"/>
        <w:rPr>
          <w:rFonts w:ascii="宋体" w:eastAsia="宋体" w:hAnsi="宋体"/>
          <w:sz w:val="24"/>
          <w:szCs w:val="28"/>
        </w:rPr>
      </w:pPr>
      <w:r w:rsidRPr="00FC61CE">
        <w:rPr>
          <w:rFonts w:ascii="宋体" w:eastAsia="宋体" w:hAnsi="宋体" w:hint="eastAsia"/>
          <w:sz w:val="24"/>
          <w:szCs w:val="28"/>
        </w:rPr>
        <w:t>2</w:t>
      </w:r>
      <w:r w:rsidRPr="00FC61CE">
        <w:rPr>
          <w:rFonts w:ascii="宋体" w:eastAsia="宋体" w:hAnsi="宋体"/>
          <w:sz w:val="24"/>
          <w:szCs w:val="28"/>
        </w:rPr>
        <w:t>021</w:t>
      </w:r>
      <w:r w:rsidRPr="00FC61CE">
        <w:rPr>
          <w:rFonts w:ascii="宋体" w:eastAsia="宋体" w:hAnsi="宋体" w:hint="eastAsia"/>
          <w:sz w:val="24"/>
          <w:szCs w:val="28"/>
        </w:rPr>
        <w:t>年3月1</w:t>
      </w:r>
      <w:r w:rsidRPr="00FC61CE">
        <w:rPr>
          <w:rFonts w:ascii="宋体" w:eastAsia="宋体" w:hAnsi="宋体"/>
          <w:sz w:val="24"/>
          <w:szCs w:val="28"/>
        </w:rPr>
        <w:t>0</w:t>
      </w:r>
      <w:r w:rsidRPr="00FC61CE">
        <w:rPr>
          <w:rFonts w:ascii="宋体" w:eastAsia="宋体" w:hAnsi="宋体" w:hint="eastAsia"/>
          <w:sz w:val="24"/>
          <w:szCs w:val="28"/>
        </w:rPr>
        <w:t>日，大唐电信科技股份有限公司（以下简称“公司”）收到中国证券监督管理委员会</w:t>
      </w:r>
      <w:r w:rsidRPr="00FC61CE">
        <w:rPr>
          <w:rFonts w:ascii="宋体" w:eastAsia="宋体" w:hAnsi="宋体"/>
          <w:sz w:val="24"/>
          <w:szCs w:val="28"/>
        </w:rPr>
        <w:t>北京监管局（以下简称“北京证监局”）</w:t>
      </w:r>
      <w:bookmarkStart w:id="0" w:name="OLE_LINK1"/>
      <w:bookmarkStart w:id="1" w:name="OLE_LINK2"/>
      <w:bookmarkStart w:id="2" w:name="OLE_LINK3"/>
      <w:bookmarkStart w:id="3" w:name="OLE_LINK4"/>
      <w:r w:rsidRPr="00FC61CE">
        <w:rPr>
          <w:rFonts w:ascii="宋体" w:eastAsia="宋体" w:hAnsi="宋体"/>
          <w:sz w:val="24"/>
          <w:szCs w:val="28"/>
        </w:rPr>
        <w:t>《关于对大</w:t>
      </w:r>
      <w:r w:rsidRPr="00FC61CE">
        <w:rPr>
          <w:rFonts w:ascii="宋体" w:eastAsia="宋体" w:hAnsi="宋体" w:hint="eastAsia"/>
          <w:sz w:val="24"/>
          <w:szCs w:val="28"/>
        </w:rPr>
        <w:t>唐电信科技股份有限公司采取责令改正措施的决定</w:t>
      </w:r>
      <w:r w:rsidRPr="00FC61CE">
        <w:rPr>
          <w:rFonts w:ascii="宋体" w:eastAsia="宋体" w:hAnsi="宋体"/>
          <w:sz w:val="24"/>
          <w:szCs w:val="28"/>
        </w:rPr>
        <w:t>》</w:t>
      </w:r>
      <w:r w:rsidR="00FC61CE">
        <w:rPr>
          <w:rFonts w:ascii="宋体" w:eastAsia="宋体" w:hAnsi="宋体" w:hint="eastAsia"/>
          <w:sz w:val="24"/>
          <w:szCs w:val="28"/>
        </w:rPr>
        <w:t>（</w:t>
      </w:r>
      <w:r w:rsidRPr="00FC61CE">
        <w:rPr>
          <w:rFonts w:ascii="宋体" w:eastAsia="宋体" w:hAnsi="宋体"/>
          <w:sz w:val="24"/>
          <w:szCs w:val="28"/>
        </w:rPr>
        <w:t>行政监管措施决定书[2021]27</w:t>
      </w:r>
      <w:r w:rsidRPr="003211D5">
        <w:rPr>
          <w:rFonts w:ascii="宋体" w:eastAsia="宋体" w:hAnsi="宋体"/>
          <w:sz w:val="24"/>
          <w:szCs w:val="28"/>
        </w:rPr>
        <w:t>号</w:t>
      </w:r>
      <w:r w:rsidR="00FC61CE">
        <w:rPr>
          <w:rFonts w:ascii="宋体" w:eastAsia="宋体" w:hAnsi="宋体" w:hint="eastAsia"/>
          <w:sz w:val="24"/>
          <w:szCs w:val="28"/>
        </w:rPr>
        <w:t>，</w:t>
      </w:r>
      <w:r w:rsidRPr="00FC61CE">
        <w:rPr>
          <w:rFonts w:ascii="宋体" w:eastAsia="宋体" w:hAnsi="宋体" w:hint="eastAsia"/>
          <w:sz w:val="24"/>
          <w:szCs w:val="28"/>
        </w:rPr>
        <w:t>具体内容详见</w:t>
      </w:r>
      <w:r w:rsidRPr="003211D5">
        <w:rPr>
          <w:rFonts w:ascii="宋体" w:eastAsia="宋体" w:hAnsi="宋体"/>
          <w:sz w:val="24"/>
          <w:szCs w:val="28"/>
        </w:rPr>
        <w:t>2021</w:t>
      </w:r>
      <w:r w:rsidRPr="003211D5">
        <w:rPr>
          <w:rFonts w:ascii="宋体" w:eastAsia="宋体" w:hAnsi="宋体" w:hint="eastAsia"/>
          <w:sz w:val="24"/>
          <w:szCs w:val="28"/>
        </w:rPr>
        <w:t>-</w:t>
      </w:r>
      <w:r w:rsidRPr="003211D5">
        <w:rPr>
          <w:rFonts w:ascii="宋体" w:eastAsia="宋体" w:hAnsi="宋体"/>
          <w:sz w:val="24"/>
          <w:szCs w:val="28"/>
        </w:rPr>
        <w:t>015</w:t>
      </w:r>
      <w:r w:rsidRPr="003211D5">
        <w:rPr>
          <w:rFonts w:ascii="宋体" w:eastAsia="宋体" w:hAnsi="宋体" w:hint="eastAsia"/>
          <w:sz w:val="24"/>
          <w:szCs w:val="28"/>
        </w:rPr>
        <w:t>号公告）。</w:t>
      </w:r>
      <w:bookmarkEnd w:id="0"/>
      <w:bookmarkEnd w:id="1"/>
      <w:bookmarkEnd w:id="2"/>
      <w:bookmarkEnd w:id="3"/>
    </w:p>
    <w:p w14:paraId="7E99B7E5" w14:textId="39047CE8" w:rsidR="00B42388" w:rsidRPr="00FC61CE" w:rsidRDefault="00B42388" w:rsidP="001D0CCE">
      <w:pPr>
        <w:spacing w:beforeLines="50" w:before="156" w:afterLines="50" w:after="156" w:line="360" w:lineRule="auto"/>
        <w:ind w:leftChars="50" w:left="105" w:rightChars="50" w:right="105" w:firstLineChars="200" w:firstLine="480"/>
        <w:jc w:val="left"/>
        <w:rPr>
          <w:rFonts w:ascii="宋体" w:eastAsia="宋体" w:hAnsi="宋体"/>
          <w:sz w:val="24"/>
          <w:szCs w:val="28"/>
        </w:rPr>
      </w:pPr>
      <w:r w:rsidRPr="000744F7">
        <w:rPr>
          <w:rFonts w:ascii="宋体" w:eastAsia="宋体" w:hAnsi="宋体" w:hint="eastAsia"/>
          <w:sz w:val="24"/>
          <w:szCs w:val="28"/>
        </w:rPr>
        <w:t>现将公司以前年度开展的部分计算机硬件购销业务相关背景与账务整改情况公告如下：</w:t>
      </w:r>
    </w:p>
    <w:p w14:paraId="4C49149B" w14:textId="77777777" w:rsidR="00413982" w:rsidRPr="001D0CCE" w:rsidRDefault="00413982" w:rsidP="001D0CCE">
      <w:pPr>
        <w:spacing w:beforeLines="50" w:before="156" w:afterLines="50" w:after="156" w:line="360" w:lineRule="auto"/>
        <w:ind w:leftChars="50" w:left="105" w:rightChars="50" w:right="105" w:firstLineChars="200" w:firstLine="482"/>
        <w:jc w:val="left"/>
        <w:rPr>
          <w:rFonts w:ascii="宋体" w:eastAsia="宋体" w:hAnsi="宋体"/>
          <w:b/>
          <w:bCs/>
          <w:sz w:val="24"/>
          <w:szCs w:val="28"/>
        </w:rPr>
      </w:pPr>
      <w:r w:rsidRPr="001D0CCE">
        <w:rPr>
          <w:rFonts w:ascii="宋体" w:eastAsia="宋体" w:hAnsi="宋体" w:hint="eastAsia"/>
          <w:b/>
          <w:bCs/>
          <w:sz w:val="24"/>
          <w:szCs w:val="28"/>
        </w:rPr>
        <w:t>一、业务背景情况</w:t>
      </w:r>
    </w:p>
    <w:p w14:paraId="4E223087" w14:textId="77777777" w:rsidR="00097E48" w:rsidRPr="00FC61CE" w:rsidRDefault="00097E48" w:rsidP="001D0CCE">
      <w:pPr>
        <w:spacing w:beforeLines="50" w:before="156" w:afterLines="50" w:after="156" w:line="360" w:lineRule="auto"/>
        <w:ind w:leftChars="50" w:left="105" w:rightChars="50" w:right="105" w:firstLineChars="200" w:firstLine="480"/>
        <w:rPr>
          <w:rFonts w:ascii="宋体" w:eastAsia="宋体" w:hAnsi="宋体"/>
          <w:sz w:val="24"/>
          <w:szCs w:val="28"/>
        </w:rPr>
      </w:pPr>
      <w:r w:rsidRPr="00FC61CE">
        <w:rPr>
          <w:rFonts w:ascii="宋体" w:eastAsia="宋体" w:hAnsi="宋体" w:hint="eastAsia"/>
          <w:sz w:val="24"/>
          <w:szCs w:val="28"/>
        </w:rPr>
        <w:t>公司自</w:t>
      </w:r>
      <w:r w:rsidRPr="00FC61CE">
        <w:rPr>
          <w:rFonts w:ascii="宋体" w:eastAsia="宋体" w:hAnsi="宋体"/>
          <w:sz w:val="24"/>
          <w:szCs w:val="28"/>
        </w:rPr>
        <w:t>2011年起开展与北京实利通和科技发展有限公司（以下简称“实利通和”）的贸易业务。公司主要从北京神州泰岳系统集成有限公司（以下简称“神州泰岳”）购入HP服务器等品牌服务器，然后将产品销售给客户实利通</w:t>
      </w:r>
      <w:proofErr w:type="gramStart"/>
      <w:r w:rsidRPr="00FC61CE">
        <w:rPr>
          <w:rFonts w:ascii="宋体" w:eastAsia="宋体" w:hAnsi="宋体"/>
          <w:sz w:val="24"/>
          <w:szCs w:val="28"/>
        </w:rPr>
        <w:t>和</w:t>
      </w:r>
      <w:proofErr w:type="gramEnd"/>
      <w:r w:rsidRPr="00FC61CE">
        <w:rPr>
          <w:rFonts w:ascii="宋体" w:eastAsia="宋体" w:hAnsi="宋体"/>
          <w:sz w:val="24"/>
          <w:szCs w:val="28"/>
        </w:rPr>
        <w:t>。</w:t>
      </w:r>
      <w:r w:rsidRPr="000744F7">
        <w:rPr>
          <w:rFonts w:ascii="宋体" w:eastAsia="宋体" w:hAnsi="宋体" w:hint="eastAsia"/>
          <w:sz w:val="24"/>
          <w:szCs w:val="28"/>
        </w:rPr>
        <w:t>业务开展伊始，经公司调查分析，上游供应商神州泰岳作为国内</w:t>
      </w:r>
      <w:r w:rsidRPr="00FC61CE">
        <w:rPr>
          <w:rFonts w:ascii="宋体" w:eastAsia="宋体" w:hAnsi="宋体"/>
          <w:sz w:val="24"/>
          <w:szCs w:val="28"/>
        </w:rPr>
        <w:t>ICT 运营管理软件和解决方案提供商，</w:t>
      </w:r>
      <w:r w:rsidRPr="00FC61CE">
        <w:rPr>
          <w:rFonts w:ascii="宋体" w:eastAsia="宋体" w:hAnsi="宋体" w:hint="eastAsia"/>
          <w:sz w:val="24"/>
          <w:szCs w:val="28"/>
        </w:rPr>
        <w:t>主要</w:t>
      </w:r>
      <w:r w:rsidRPr="00FC61CE">
        <w:rPr>
          <w:rFonts w:ascii="宋体" w:eastAsia="宋体" w:hAnsi="宋体"/>
          <w:sz w:val="24"/>
          <w:szCs w:val="28"/>
        </w:rPr>
        <w:t>服务于电信行业的大中型企业和政府机关，其IT类销售业务市场占有率高</w:t>
      </w:r>
      <w:r w:rsidRPr="00FC61CE">
        <w:rPr>
          <w:rFonts w:ascii="宋体" w:eastAsia="宋体" w:hAnsi="宋体" w:hint="eastAsia"/>
          <w:sz w:val="24"/>
          <w:szCs w:val="28"/>
        </w:rPr>
        <w:t>；</w:t>
      </w:r>
      <w:r w:rsidRPr="00FC61CE">
        <w:rPr>
          <w:rFonts w:ascii="宋体" w:eastAsia="宋体" w:hAnsi="宋体"/>
          <w:sz w:val="24"/>
          <w:szCs w:val="28"/>
        </w:rPr>
        <w:t>下游客户实利通和是一家以IT产品供应为主业的民营企业，有销售惠普服务器类的IT产品的需求。而彼时公司作为国有大型信息技术企业，凭借系统集成业务行业领先的地位，大力拓展IT类产品的销售业务，</w:t>
      </w:r>
      <w:r w:rsidRPr="00FC61CE">
        <w:rPr>
          <w:rFonts w:ascii="宋体" w:eastAsia="宋体" w:hAnsi="宋体" w:hint="eastAsia"/>
          <w:sz w:val="24"/>
          <w:szCs w:val="28"/>
        </w:rPr>
        <w:t>因此开拓此项贸易业务。</w:t>
      </w:r>
      <w:r w:rsidRPr="00FC61CE">
        <w:rPr>
          <w:rFonts w:ascii="宋体" w:eastAsia="宋体" w:hAnsi="宋体"/>
          <w:sz w:val="24"/>
          <w:szCs w:val="28"/>
        </w:rPr>
        <w:t>此业务截至2017年6月前，三方公司</w:t>
      </w:r>
      <w:r w:rsidRPr="00FC61CE">
        <w:rPr>
          <w:rFonts w:ascii="宋体" w:eastAsia="宋体" w:hAnsi="宋体"/>
          <w:sz w:val="24"/>
          <w:szCs w:val="28"/>
        </w:rPr>
        <w:lastRenderedPageBreak/>
        <w:t>未出现拖欠货款、延迟交付等</w:t>
      </w:r>
      <w:r w:rsidRPr="00FC61CE">
        <w:rPr>
          <w:rFonts w:ascii="宋体" w:eastAsia="宋体" w:hAnsi="宋体" w:hint="eastAsia"/>
          <w:sz w:val="24"/>
          <w:szCs w:val="28"/>
        </w:rPr>
        <w:t>情况</w:t>
      </w:r>
      <w:r w:rsidRPr="00FC61CE">
        <w:rPr>
          <w:rFonts w:ascii="宋体" w:eastAsia="宋体" w:hAnsi="宋体"/>
          <w:sz w:val="24"/>
          <w:szCs w:val="28"/>
        </w:rPr>
        <w:t>。</w:t>
      </w:r>
    </w:p>
    <w:p w14:paraId="10AC8389" w14:textId="77777777" w:rsidR="00097E48" w:rsidRPr="00FC61CE" w:rsidRDefault="00097E48" w:rsidP="001D0CCE">
      <w:pPr>
        <w:spacing w:beforeLines="50" w:before="156" w:afterLines="50" w:after="156" w:line="360" w:lineRule="auto"/>
        <w:ind w:leftChars="50" w:left="105" w:rightChars="50" w:right="105" w:firstLineChars="200" w:firstLine="480"/>
        <w:rPr>
          <w:rFonts w:ascii="宋体" w:eastAsia="宋体" w:hAnsi="宋体"/>
          <w:sz w:val="24"/>
          <w:szCs w:val="28"/>
        </w:rPr>
      </w:pPr>
      <w:r w:rsidRPr="00FC61CE">
        <w:rPr>
          <w:rFonts w:ascii="宋体" w:eastAsia="宋体" w:hAnsi="宋体"/>
          <w:sz w:val="24"/>
          <w:szCs w:val="28"/>
        </w:rPr>
        <w:t>2017年6月，实利通和开始出现给付货款困难，从而导致公司未能按期收款。实利通和出现此情况后，公司在追讨欠款过程中，发现其实际控制人刘宇阳出境美国且拒不返回，公司利益受到侵害。2017年8月30日</w:t>
      </w:r>
      <w:r w:rsidRPr="00FC61CE">
        <w:rPr>
          <w:rFonts w:ascii="宋体" w:eastAsia="宋体" w:hAnsi="宋体" w:hint="eastAsia"/>
          <w:sz w:val="24"/>
          <w:szCs w:val="28"/>
        </w:rPr>
        <w:t>，</w:t>
      </w:r>
      <w:r w:rsidRPr="00FC61CE">
        <w:rPr>
          <w:rFonts w:ascii="宋体" w:eastAsia="宋体" w:hAnsi="宋体"/>
          <w:sz w:val="24"/>
          <w:szCs w:val="28"/>
        </w:rPr>
        <w:t>公司</w:t>
      </w:r>
      <w:r w:rsidRPr="00FC61CE">
        <w:rPr>
          <w:rFonts w:ascii="宋体" w:eastAsia="宋体" w:hAnsi="宋体" w:hint="eastAsia"/>
          <w:sz w:val="24"/>
          <w:szCs w:val="28"/>
        </w:rPr>
        <w:t>以涉嫌合同诈骗为由将</w:t>
      </w:r>
      <w:r w:rsidRPr="00FC61CE">
        <w:rPr>
          <w:rFonts w:ascii="宋体" w:eastAsia="宋体" w:hAnsi="宋体"/>
          <w:sz w:val="24"/>
          <w:szCs w:val="28"/>
        </w:rPr>
        <w:t>实利通和及其实际控制人向北京市公安局经侦总队刑事举报。</w:t>
      </w:r>
      <w:r w:rsidRPr="00FC61CE">
        <w:rPr>
          <w:rFonts w:ascii="宋体" w:eastAsia="宋体" w:hAnsi="宋体" w:hint="eastAsia"/>
          <w:sz w:val="24"/>
          <w:szCs w:val="28"/>
        </w:rPr>
        <w:t>同年</w:t>
      </w:r>
      <w:r w:rsidRPr="00FC61CE">
        <w:rPr>
          <w:rFonts w:ascii="宋体" w:eastAsia="宋体" w:hAnsi="宋体"/>
          <w:sz w:val="24"/>
          <w:szCs w:val="28"/>
        </w:rPr>
        <w:t>11月，海淀区公安局正式立案调查。截至目前，案件仍在刑事侦查过程中。</w:t>
      </w:r>
    </w:p>
    <w:p w14:paraId="453EE61A" w14:textId="4964295C" w:rsidR="00097E48" w:rsidRPr="00FC61CE" w:rsidRDefault="00097E48" w:rsidP="001D0CCE">
      <w:pPr>
        <w:spacing w:beforeLines="50" w:before="156" w:afterLines="50" w:after="156" w:line="360" w:lineRule="auto"/>
        <w:ind w:leftChars="50" w:left="105" w:rightChars="50" w:right="105" w:firstLineChars="200" w:firstLine="480"/>
        <w:rPr>
          <w:rFonts w:ascii="宋体" w:eastAsia="宋体" w:hAnsi="宋体"/>
          <w:sz w:val="24"/>
          <w:szCs w:val="28"/>
        </w:rPr>
      </w:pPr>
      <w:r w:rsidRPr="00FC61CE">
        <w:rPr>
          <w:rFonts w:ascii="宋体" w:eastAsia="宋体" w:hAnsi="宋体"/>
          <w:sz w:val="24"/>
          <w:szCs w:val="28"/>
        </w:rPr>
        <w:t>2011年至2017年间，公司对实利通和贸易业务共确认</w:t>
      </w:r>
      <w:r w:rsidRPr="00FC61CE">
        <w:rPr>
          <w:rFonts w:ascii="宋体" w:eastAsia="宋体" w:hAnsi="宋体" w:hint="eastAsia"/>
          <w:sz w:val="24"/>
          <w:szCs w:val="28"/>
        </w:rPr>
        <w:t>毛利</w:t>
      </w:r>
      <w:r w:rsidRPr="00FC61CE">
        <w:rPr>
          <w:rFonts w:ascii="宋体" w:eastAsia="宋体" w:hAnsi="宋体"/>
          <w:sz w:val="24"/>
          <w:szCs w:val="28"/>
        </w:rPr>
        <w:t>0.55亿元</w:t>
      </w:r>
      <w:r w:rsidRPr="00FC61CE">
        <w:rPr>
          <w:rFonts w:ascii="宋体" w:eastAsia="宋体" w:hAnsi="宋体" w:hint="eastAsia"/>
          <w:sz w:val="24"/>
          <w:szCs w:val="28"/>
        </w:rPr>
        <w:t>。</w:t>
      </w:r>
      <w:r w:rsidRPr="00FC61CE">
        <w:rPr>
          <w:rFonts w:ascii="宋体" w:eastAsia="宋体" w:hAnsi="宋体"/>
          <w:sz w:val="24"/>
          <w:szCs w:val="28"/>
        </w:rPr>
        <w:t>截至目前</w:t>
      </w:r>
      <w:r w:rsidRPr="00FC61CE">
        <w:rPr>
          <w:rFonts w:ascii="宋体" w:eastAsia="宋体" w:hAnsi="宋体" w:hint="eastAsia"/>
          <w:sz w:val="24"/>
          <w:szCs w:val="28"/>
        </w:rPr>
        <w:t>，</w:t>
      </w:r>
      <w:r w:rsidRPr="00FC61CE">
        <w:rPr>
          <w:rFonts w:ascii="宋体" w:eastAsia="宋体" w:hAnsi="宋体"/>
          <w:sz w:val="24"/>
          <w:szCs w:val="28"/>
        </w:rPr>
        <w:t>公司账面应收实利通和余额为6.54亿元，已于2017年底计提减值准备4.58亿元，对神州泰岳应付金额为3.95亿元。2017年末，公司对此款项进行减值测试时，充分考虑了案件不确定性产生的影响，对涉及实利通和的应收账款按照70%的比例进行单项计提。</w:t>
      </w:r>
    </w:p>
    <w:p w14:paraId="21CF9C5F" w14:textId="7451198D" w:rsidR="00B42388" w:rsidRPr="001D0CCE" w:rsidRDefault="00B42388" w:rsidP="001D0CCE">
      <w:pPr>
        <w:spacing w:beforeLines="50" w:before="156" w:afterLines="50" w:after="156" w:line="360" w:lineRule="auto"/>
        <w:ind w:leftChars="50" w:left="105" w:rightChars="50" w:right="105" w:firstLineChars="200" w:firstLine="482"/>
        <w:jc w:val="left"/>
        <w:rPr>
          <w:rFonts w:ascii="宋体" w:eastAsia="宋体" w:hAnsi="宋体"/>
          <w:b/>
          <w:bCs/>
          <w:sz w:val="24"/>
          <w:szCs w:val="28"/>
        </w:rPr>
      </w:pPr>
      <w:r w:rsidRPr="001D0CCE">
        <w:rPr>
          <w:rFonts w:ascii="宋体" w:eastAsia="宋体" w:hAnsi="宋体" w:hint="eastAsia"/>
          <w:b/>
          <w:bCs/>
          <w:sz w:val="24"/>
          <w:szCs w:val="28"/>
        </w:rPr>
        <w:t>二、账务整改情况</w:t>
      </w:r>
    </w:p>
    <w:p w14:paraId="16879499" w14:textId="001BDFA3" w:rsidR="00AA5F55" w:rsidRPr="00FC61CE" w:rsidRDefault="00213906" w:rsidP="001D0CCE">
      <w:pPr>
        <w:spacing w:beforeLines="50" w:before="156" w:afterLines="50" w:after="156" w:line="360" w:lineRule="auto"/>
        <w:ind w:leftChars="50" w:left="105" w:rightChars="50" w:right="105" w:firstLineChars="200" w:firstLine="480"/>
        <w:rPr>
          <w:rFonts w:ascii="宋体" w:eastAsia="宋体" w:hAnsi="宋体"/>
          <w:sz w:val="24"/>
          <w:szCs w:val="28"/>
        </w:rPr>
      </w:pPr>
      <w:r w:rsidRPr="00FC61CE">
        <w:rPr>
          <w:rFonts w:ascii="宋体" w:eastAsia="宋体" w:hAnsi="宋体" w:hint="eastAsia"/>
          <w:sz w:val="24"/>
          <w:szCs w:val="28"/>
        </w:rPr>
        <w:t>2</w:t>
      </w:r>
      <w:r w:rsidRPr="00FC61CE">
        <w:rPr>
          <w:rFonts w:ascii="宋体" w:eastAsia="宋体" w:hAnsi="宋体"/>
          <w:sz w:val="24"/>
          <w:szCs w:val="28"/>
        </w:rPr>
        <w:t>020</w:t>
      </w:r>
      <w:r w:rsidRPr="00FC61CE">
        <w:rPr>
          <w:rFonts w:ascii="宋体" w:eastAsia="宋体" w:hAnsi="宋体" w:hint="eastAsia"/>
          <w:sz w:val="24"/>
          <w:szCs w:val="28"/>
        </w:rPr>
        <w:t>年，公司从北京证监局获悉：在对公司和神州泰岳的业务资料及公安机关掌握的卷宗进行查证后，北京证监局</w:t>
      </w:r>
      <w:r w:rsidR="00531FD6" w:rsidRPr="00FC61CE">
        <w:rPr>
          <w:rFonts w:ascii="宋体" w:eastAsia="宋体" w:hAnsi="宋体" w:hint="eastAsia"/>
          <w:sz w:val="24"/>
          <w:szCs w:val="28"/>
        </w:rPr>
        <w:t>告知公司，</w:t>
      </w:r>
      <w:r w:rsidRPr="00FC61CE">
        <w:rPr>
          <w:rFonts w:ascii="宋体" w:eastAsia="宋体" w:hAnsi="宋体" w:hint="eastAsia"/>
          <w:sz w:val="24"/>
          <w:szCs w:val="28"/>
        </w:rPr>
        <w:t>三方之间客观上构成循环贸易。结合监管机构对实利通和业务的调查结论以及公司进一步掌握的证据，公司进行账务整改，具体过程及依据如下：</w:t>
      </w:r>
    </w:p>
    <w:p w14:paraId="0F4369FC" w14:textId="54298F9A" w:rsidR="00213906" w:rsidRPr="000744F7" w:rsidRDefault="0086351C" w:rsidP="001D0CCE">
      <w:pPr>
        <w:spacing w:beforeLines="50" w:before="156" w:afterLines="50" w:after="156" w:line="360" w:lineRule="auto"/>
        <w:ind w:leftChars="50" w:left="105" w:rightChars="50" w:right="105" w:firstLineChars="200" w:firstLine="482"/>
        <w:jc w:val="left"/>
        <w:rPr>
          <w:rFonts w:ascii="宋体" w:eastAsia="宋体" w:hAnsi="宋体"/>
          <w:b/>
          <w:bCs/>
          <w:sz w:val="24"/>
          <w:szCs w:val="28"/>
        </w:rPr>
      </w:pPr>
      <w:r w:rsidRPr="00FC61CE">
        <w:rPr>
          <w:rFonts w:ascii="宋体" w:eastAsia="宋体" w:hAnsi="宋体" w:hint="eastAsia"/>
          <w:b/>
          <w:bCs/>
          <w:sz w:val="24"/>
          <w:szCs w:val="28"/>
        </w:rPr>
        <w:t>1、</w:t>
      </w:r>
      <w:r w:rsidR="00213906" w:rsidRPr="00FC61CE">
        <w:rPr>
          <w:rFonts w:ascii="宋体" w:eastAsia="宋体" w:hAnsi="宋体" w:hint="eastAsia"/>
          <w:b/>
          <w:bCs/>
          <w:sz w:val="24"/>
          <w:szCs w:val="28"/>
        </w:rPr>
        <w:t>该业务存在</w:t>
      </w:r>
      <w:r w:rsidR="009659B6" w:rsidRPr="00FC61CE">
        <w:rPr>
          <w:rFonts w:ascii="宋体" w:eastAsia="宋体" w:hAnsi="宋体" w:hint="eastAsia"/>
          <w:b/>
          <w:bCs/>
          <w:sz w:val="24"/>
          <w:szCs w:val="28"/>
        </w:rPr>
        <w:t>被判定</w:t>
      </w:r>
      <w:r w:rsidR="00CA2FDF" w:rsidRPr="00FC61CE">
        <w:rPr>
          <w:rFonts w:ascii="宋体" w:eastAsia="宋体" w:hAnsi="宋体" w:hint="eastAsia"/>
          <w:b/>
          <w:bCs/>
          <w:sz w:val="24"/>
          <w:szCs w:val="28"/>
        </w:rPr>
        <w:t>为</w:t>
      </w:r>
      <w:r w:rsidR="0091560C" w:rsidRPr="00FC61CE">
        <w:rPr>
          <w:rFonts w:ascii="宋体" w:eastAsia="宋体" w:hAnsi="宋体" w:hint="eastAsia"/>
          <w:b/>
          <w:bCs/>
          <w:sz w:val="24"/>
          <w:szCs w:val="28"/>
        </w:rPr>
        <w:t>合同无效</w:t>
      </w:r>
      <w:r w:rsidR="009659B6" w:rsidRPr="00FC61CE">
        <w:rPr>
          <w:rFonts w:ascii="宋体" w:eastAsia="宋体" w:hAnsi="宋体" w:hint="eastAsia"/>
          <w:b/>
          <w:bCs/>
          <w:sz w:val="24"/>
          <w:szCs w:val="28"/>
        </w:rPr>
        <w:t>的</w:t>
      </w:r>
      <w:r w:rsidR="0091560C" w:rsidRPr="00FC61CE">
        <w:rPr>
          <w:rFonts w:ascii="宋体" w:eastAsia="宋体" w:hAnsi="宋体" w:hint="eastAsia"/>
          <w:b/>
          <w:bCs/>
          <w:sz w:val="24"/>
          <w:szCs w:val="28"/>
        </w:rPr>
        <w:t>风险，对</w:t>
      </w:r>
      <w:r w:rsidR="009659B6" w:rsidRPr="00FC61CE">
        <w:rPr>
          <w:rFonts w:ascii="宋体" w:eastAsia="宋体" w:hAnsi="宋体" w:hint="eastAsia"/>
          <w:b/>
          <w:bCs/>
          <w:sz w:val="24"/>
          <w:szCs w:val="28"/>
        </w:rPr>
        <w:t>以往相关交易产生的利得</w:t>
      </w:r>
      <w:r w:rsidR="0091560C" w:rsidRPr="00FC61CE">
        <w:rPr>
          <w:rFonts w:ascii="宋体" w:eastAsia="宋体" w:hAnsi="宋体" w:hint="eastAsia"/>
          <w:b/>
          <w:bCs/>
          <w:sz w:val="24"/>
          <w:szCs w:val="28"/>
        </w:rPr>
        <w:t>进行冲销</w:t>
      </w:r>
    </w:p>
    <w:p w14:paraId="50D2CABB" w14:textId="77777777" w:rsidR="00097E48" w:rsidRPr="00FC61CE" w:rsidRDefault="00097E48" w:rsidP="001D0CCE">
      <w:pPr>
        <w:spacing w:beforeLines="50" w:before="156" w:afterLines="50" w:after="156" w:line="360" w:lineRule="auto"/>
        <w:ind w:leftChars="50" w:left="105" w:rightChars="50" w:right="105" w:firstLineChars="200" w:firstLine="480"/>
        <w:rPr>
          <w:rFonts w:ascii="宋体" w:eastAsia="宋体" w:hAnsi="宋体"/>
          <w:sz w:val="24"/>
          <w:szCs w:val="28"/>
        </w:rPr>
      </w:pPr>
      <w:r w:rsidRPr="00FC61CE">
        <w:rPr>
          <w:rFonts w:ascii="宋体" w:eastAsia="宋体" w:hAnsi="宋体" w:hint="eastAsia"/>
          <w:sz w:val="24"/>
          <w:szCs w:val="28"/>
        </w:rPr>
        <w:t>参照同类司法判例，在公司与神州泰岳、实利通和三方贸易构成循环交易的情况下，各方签订的《买卖合同》有可能被认定为合同无效。根据《合同法》第五十八条的规定，合同无效，因该合同取得的财产应当予以返还。</w:t>
      </w:r>
    </w:p>
    <w:p w14:paraId="4E47DC30" w14:textId="77777777" w:rsidR="00097E48" w:rsidRPr="00FC61CE" w:rsidRDefault="00097E48" w:rsidP="001D0CCE">
      <w:pPr>
        <w:spacing w:beforeLines="50" w:before="156" w:afterLines="50" w:after="156" w:line="360" w:lineRule="auto"/>
        <w:ind w:leftChars="50" w:left="105" w:rightChars="50" w:right="105" w:firstLineChars="200" w:firstLine="480"/>
        <w:rPr>
          <w:rFonts w:ascii="宋体" w:eastAsia="宋体" w:hAnsi="宋体"/>
          <w:sz w:val="24"/>
          <w:szCs w:val="28"/>
        </w:rPr>
      </w:pPr>
      <w:r w:rsidRPr="00FC61CE">
        <w:rPr>
          <w:rFonts w:ascii="宋体" w:eastAsia="宋体" w:hAnsi="宋体" w:hint="eastAsia"/>
          <w:sz w:val="24"/>
          <w:szCs w:val="28"/>
        </w:rPr>
        <w:t>依据上述</w:t>
      </w:r>
      <w:r w:rsidRPr="00FC61CE">
        <w:rPr>
          <w:rFonts w:ascii="宋体" w:eastAsia="宋体" w:hAnsi="宋体"/>
          <w:sz w:val="24"/>
          <w:szCs w:val="28"/>
        </w:rPr>
        <w:t>2020年公司获取的最新信息，结合相关法律规定，如判定合同无效，相关款项可能会被要求原路返还。公司在该贸易业务中确认的毛利0.55亿元有可能被判定为应</w:t>
      </w:r>
      <w:proofErr w:type="gramStart"/>
      <w:r w:rsidRPr="00FC61CE">
        <w:rPr>
          <w:rFonts w:ascii="宋体" w:eastAsia="宋体" w:hAnsi="宋体"/>
          <w:sz w:val="24"/>
          <w:szCs w:val="28"/>
        </w:rPr>
        <w:t>予退</w:t>
      </w:r>
      <w:proofErr w:type="gramEnd"/>
      <w:r w:rsidRPr="00FC61CE">
        <w:rPr>
          <w:rFonts w:ascii="宋体" w:eastAsia="宋体" w:hAnsi="宋体"/>
          <w:sz w:val="24"/>
          <w:szCs w:val="28"/>
        </w:rPr>
        <w:t>还。另一方面，公司事先对实利通和与神州泰岳另行签订销售合同构成循环交易的情况并不知情，且自身利益遭受重大损害，除返还已获得的0.55亿元毛利外，不应对任何交易对手承担额外的赔付义务。</w:t>
      </w:r>
      <w:r w:rsidRPr="00FC61CE">
        <w:rPr>
          <w:rFonts w:ascii="宋体" w:eastAsia="宋体" w:hAnsi="宋体"/>
          <w:sz w:val="24"/>
          <w:szCs w:val="28"/>
        </w:rPr>
        <w:lastRenderedPageBreak/>
        <w:t>因此，公司将在2020年计提0.55亿元损失，计入当期损益。</w:t>
      </w:r>
    </w:p>
    <w:p w14:paraId="7AC17615" w14:textId="22FFE6D9" w:rsidR="005B5F1E" w:rsidRPr="00FC61CE" w:rsidRDefault="004D6450" w:rsidP="001D0CCE">
      <w:pPr>
        <w:spacing w:beforeLines="50" w:before="156" w:afterLines="50" w:after="156" w:line="360" w:lineRule="auto"/>
        <w:ind w:leftChars="50" w:left="105" w:rightChars="50" w:right="105" w:firstLineChars="200" w:firstLine="482"/>
        <w:jc w:val="left"/>
        <w:rPr>
          <w:rFonts w:ascii="宋体" w:eastAsia="宋体" w:hAnsi="宋体"/>
          <w:b/>
          <w:bCs/>
          <w:sz w:val="24"/>
          <w:szCs w:val="28"/>
        </w:rPr>
      </w:pPr>
      <w:r w:rsidRPr="00FC61CE">
        <w:rPr>
          <w:rFonts w:ascii="宋体" w:eastAsia="宋体" w:hAnsi="宋体"/>
          <w:b/>
          <w:bCs/>
          <w:sz w:val="24"/>
          <w:szCs w:val="28"/>
        </w:rPr>
        <w:t>2、结合最新情况，进一步对应收款项进行减值计提</w:t>
      </w:r>
    </w:p>
    <w:p w14:paraId="47CE28BC" w14:textId="77777777" w:rsidR="00097E48" w:rsidRPr="00FC61CE" w:rsidRDefault="00097E48" w:rsidP="001D0CCE">
      <w:pPr>
        <w:spacing w:beforeLines="50" w:before="156" w:afterLines="50" w:after="156" w:line="360" w:lineRule="auto"/>
        <w:ind w:leftChars="50" w:left="105" w:rightChars="50" w:right="105" w:firstLineChars="200" w:firstLine="480"/>
        <w:rPr>
          <w:rFonts w:ascii="宋体" w:eastAsia="宋体" w:hAnsi="宋体"/>
          <w:sz w:val="24"/>
          <w:szCs w:val="28"/>
        </w:rPr>
      </w:pPr>
      <w:r w:rsidRPr="00FC61CE">
        <w:rPr>
          <w:rFonts w:ascii="宋体" w:eastAsia="宋体" w:hAnsi="宋体"/>
          <w:sz w:val="24"/>
          <w:szCs w:val="28"/>
        </w:rPr>
        <w:t>2017</w:t>
      </w:r>
      <w:r w:rsidRPr="00FC61CE">
        <w:rPr>
          <w:rFonts w:ascii="宋体" w:eastAsia="宋体" w:hAnsi="宋体" w:hint="eastAsia"/>
          <w:sz w:val="24"/>
          <w:szCs w:val="28"/>
        </w:rPr>
        <w:t>年</w:t>
      </w:r>
      <w:r w:rsidRPr="00FC61CE">
        <w:rPr>
          <w:rFonts w:ascii="宋体" w:eastAsia="宋体" w:hAnsi="宋体"/>
          <w:sz w:val="24"/>
          <w:szCs w:val="28"/>
        </w:rPr>
        <w:t>11月，海淀区公安局对实利通和及其实际控制人进行立案调查，至今已有两年半时间，且该公司实际控制人逃往美国已久，刑事</w:t>
      </w:r>
      <w:r w:rsidRPr="00FC61CE">
        <w:rPr>
          <w:rFonts w:ascii="宋体" w:eastAsia="宋体" w:hAnsi="宋体" w:hint="eastAsia"/>
          <w:sz w:val="24"/>
          <w:szCs w:val="28"/>
        </w:rPr>
        <w:t>案件侦查长期未有</w:t>
      </w:r>
      <w:r w:rsidRPr="00FC61CE">
        <w:rPr>
          <w:rFonts w:ascii="宋体" w:eastAsia="宋体" w:hAnsi="宋体"/>
          <w:sz w:val="24"/>
          <w:szCs w:val="28"/>
        </w:rPr>
        <w:t>进展。</w:t>
      </w:r>
    </w:p>
    <w:p w14:paraId="4AFD9794" w14:textId="77777777" w:rsidR="00097E48" w:rsidRPr="00FC61CE" w:rsidRDefault="00097E48" w:rsidP="001D0CCE">
      <w:pPr>
        <w:spacing w:beforeLines="50" w:before="156" w:afterLines="50" w:after="156" w:line="360" w:lineRule="auto"/>
        <w:ind w:leftChars="50" w:left="105" w:rightChars="50" w:right="105" w:firstLineChars="200" w:firstLine="480"/>
        <w:rPr>
          <w:rFonts w:ascii="宋体" w:eastAsia="宋体" w:hAnsi="宋体"/>
          <w:sz w:val="24"/>
          <w:szCs w:val="28"/>
        </w:rPr>
      </w:pPr>
      <w:r w:rsidRPr="00FC61CE">
        <w:rPr>
          <w:rFonts w:ascii="宋体" w:eastAsia="宋体" w:hAnsi="宋体"/>
          <w:sz w:val="24"/>
          <w:szCs w:val="28"/>
        </w:rPr>
        <w:t>2018年4月，神州泰岳提起民事诉讼，要求公司履行买卖合同的支付义务，2018-2019年，因涉及刑事案件，北京市第一中级人民法院、北京市高级人民法院均已先后以“案件涉及的民事争议是否是第三方公司实施犯罪行为的手段和方式，尚待刑事案件处理结果做出判断”为由驳回神州泰岳的民事诉讼，其诉讼并未被实体受理。2021</w:t>
      </w:r>
      <w:r w:rsidRPr="00FC61CE">
        <w:rPr>
          <w:rFonts w:ascii="宋体" w:eastAsia="宋体" w:hAnsi="宋体" w:hint="eastAsia"/>
          <w:sz w:val="24"/>
          <w:szCs w:val="28"/>
        </w:rPr>
        <w:t>年</w:t>
      </w:r>
      <w:r w:rsidRPr="00FC61CE">
        <w:rPr>
          <w:rFonts w:ascii="宋体" w:eastAsia="宋体" w:hAnsi="宋体"/>
          <w:sz w:val="24"/>
          <w:szCs w:val="28"/>
        </w:rPr>
        <w:t>2月25</w:t>
      </w:r>
      <w:r w:rsidRPr="00FC61CE">
        <w:rPr>
          <w:rFonts w:ascii="宋体" w:eastAsia="宋体" w:hAnsi="宋体" w:hint="eastAsia"/>
          <w:sz w:val="24"/>
          <w:szCs w:val="28"/>
        </w:rPr>
        <w:t>日，民事诉讼产生新的进展。神州泰岳发布公告称“已收到海淀区人民法院对该案件立案申请的通知”。</w:t>
      </w:r>
      <w:r w:rsidRPr="00FC61CE">
        <w:rPr>
          <w:rFonts w:ascii="宋体" w:eastAsia="宋体" w:hAnsi="宋体"/>
          <w:sz w:val="24"/>
          <w:szCs w:val="28"/>
        </w:rPr>
        <w:t xml:space="preserve"> </w:t>
      </w:r>
    </w:p>
    <w:p w14:paraId="7DACD617" w14:textId="77777777" w:rsidR="00097E48" w:rsidRPr="00FC61CE" w:rsidRDefault="00097E48" w:rsidP="001D0CCE">
      <w:pPr>
        <w:spacing w:beforeLines="50" w:before="156" w:afterLines="50" w:after="156" w:line="360" w:lineRule="auto"/>
        <w:ind w:leftChars="50" w:left="105" w:rightChars="50" w:right="105" w:firstLineChars="200" w:firstLine="480"/>
        <w:rPr>
          <w:rFonts w:ascii="宋体" w:eastAsia="宋体" w:hAnsi="宋体"/>
          <w:sz w:val="24"/>
          <w:szCs w:val="28"/>
        </w:rPr>
      </w:pPr>
      <w:r w:rsidRPr="00FC61CE">
        <w:rPr>
          <w:rFonts w:ascii="宋体" w:eastAsia="宋体" w:hAnsi="宋体" w:hint="eastAsia"/>
          <w:sz w:val="24"/>
          <w:szCs w:val="28"/>
        </w:rPr>
        <w:t>在此条件下，即便后续买卖合同被认为无效，公司通过民事诉讼途径对已向神州泰岳支付的款项进行追索也面临极大困难，加之实利通和公司已丧失偿债能力，公司账面应收款项以各种途径进行收回的可能性均有所下降，因此，出于谨慎性考虑，公司对应收实利通和的款项全额计提减值准备。</w:t>
      </w:r>
    </w:p>
    <w:p w14:paraId="52E2173C" w14:textId="61337F0B" w:rsidR="00B42388" w:rsidRPr="00FC61CE" w:rsidRDefault="00097E48" w:rsidP="001D0CCE">
      <w:pPr>
        <w:spacing w:beforeLines="50" w:before="156" w:afterLines="50" w:after="156" w:line="360" w:lineRule="auto"/>
        <w:ind w:leftChars="50" w:left="105" w:rightChars="50" w:right="105" w:firstLineChars="200" w:firstLine="480"/>
        <w:rPr>
          <w:rFonts w:ascii="宋体" w:eastAsia="宋体" w:hAnsi="宋体"/>
          <w:sz w:val="24"/>
          <w:szCs w:val="28"/>
        </w:rPr>
      </w:pPr>
      <w:r w:rsidRPr="00FC61CE">
        <w:rPr>
          <w:rFonts w:ascii="宋体" w:eastAsia="宋体" w:hAnsi="宋体" w:hint="eastAsia"/>
          <w:sz w:val="24"/>
          <w:szCs w:val="28"/>
        </w:rPr>
        <w:t>目前，公安机关对实利通和的刑事调查尚未最终结束，民事诉讼也尚无定论，公司将根据案件进展情况考虑后续账务处理。</w:t>
      </w:r>
    </w:p>
    <w:p w14:paraId="7C553DC9" w14:textId="5A26F3AE" w:rsidR="00B42388" w:rsidRPr="00FC61CE" w:rsidRDefault="007F0FB4" w:rsidP="001D0CCE">
      <w:pPr>
        <w:spacing w:beforeLines="50" w:before="156" w:afterLines="50" w:after="156" w:line="360" w:lineRule="auto"/>
        <w:ind w:leftChars="50" w:left="105" w:rightChars="50" w:right="105" w:firstLineChars="200" w:firstLine="480"/>
        <w:rPr>
          <w:rFonts w:ascii="宋体" w:eastAsia="宋体" w:hAnsi="宋体"/>
          <w:sz w:val="24"/>
          <w:szCs w:val="28"/>
        </w:rPr>
      </w:pPr>
      <w:r w:rsidRPr="00FC61CE">
        <w:rPr>
          <w:rFonts w:ascii="宋体" w:eastAsia="宋体" w:hAnsi="宋体" w:hint="eastAsia"/>
          <w:sz w:val="24"/>
          <w:szCs w:val="28"/>
        </w:rPr>
        <w:t>此外，</w:t>
      </w:r>
      <w:r w:rsidR="00B42388" w:rsidRPr="00FC61CE">
        <w:rPr>
          <w:rFonts w:ascii="宋体" w:eastAsia="宋体" w:hAnsi="宋体" w:hint="eastAsia"/>
          <w:sz w:val="24"/>
          <w:szCs w:val="28"/>
        </w:rPr>
        <w:t>公司将以此次整改为契机，进一步规范业务管理和风险管控能力，以规范降风险，提高公司各方面工作的质量水平，加强内部控制制度有效性，并从制度层面和执行层面提升财务会计核算与财务管理水平，持续提高信息披露质量。</w:t>
      </w:r>
    </w:p>
    <w:p w14:paraId="1864F0FD" w14:textId="77777777" w:rsidR="007F0FB4" w:rsidRPr="001D0CCE" w:rsidRDefault="007F0FB4" w:rsidP="001D0CCE">
      <w:pPr>
        <w:autoSpaceDE w:val="0"/>
        <w:autoSpaceDN w:val="0"/>
        <w:adjustRightInd w:val="0"/>
        <w:spacing w:beforeLines="50" w:before="156" w:afterLines="50" w:after="156" w:line="360" w:lineRule="auto"/>
        <w:ind w:leftChars="50" w:left="105" w:rightChars="50" w:right="105"/>
        <w:rPr>
          <w:rFonts w:ascii="宋体" w:eastAsia="宋体" w:hAnsi="宋体"/>
          <w:color w:val="000000"/>
          <w:sz w:val="24"/>
        </w:rPr>
      </w:pPr>
    </w:p>
    <w:p w14:paraId="737DE24A" w14:textId="77777777" w:rsidR="007F0FB4" w:rsidRPr="00FC61CE" w:rsidRDefault="007F0FB4" w:rsidP="001D0CCE">
      <w:pPr>
        <w:autoSpaceDE w:val="0"/>
        <w:autoSpaceDN w:val="0"/>
        <w:adjustRightInd w:val="0"/>
        <w:spacing w:beforeLines="50" w:before="156" w:afterLines="50" w:after="156" w:line="360" w:lineRule="auto"/>
        <w:ind w:leftChars="50" w:left="105" w:rightChars="50" w:right="105" w:firstLineChars="200" w:firstLine="480"/>
        <w:jc w:val="right"/>
        <w:rPr>
          <w:rFonts w:ascii="宋体" w:eastAsia="宋体" w:hAnsi="宋体"/>
          <w:color w:val="000000"/>
          <w:sz w:val="24"/>
        </w:rPr>
      </w:pPr>
      <w:r w:rsidRPr="00FC61CE">
        <w:rPr>
          <w:rFonts w:ascii="宋体" w:eastAsia="宋体" w:hAnsi="宋体" w:hint="eastAsia"/>
          <w:color w:val="000000"/>
          <w:sz w:val="24"/>
        </w:rPr>
        <w:t>大唐电信科技股份</w:t>
      </w:r>
      <w:bookmarkStart w:id="4" w:name="_GoBack"/>
      <w:bookmarkEnd w:id="4"/>
      <w:r w:rsidRPr="00FC61CE">
        <w:rPr>
          <w:rFonts w:ascii="宋体" w:eastAsia="宋体" w:hAnsi="宋体" w:hint="eastAsia"/>
          <w:color w:val="000000"/>
          <w:sz w:val="24"/>
        </w:rPr>
        <w:t>有限公司董事会</w:t>
      </w:r>
    </w:p>
    <w:p w14:paraId="235F419D" w14:textId="7587508C" w:rsidR="007F0FB4" w:rsidRPr="00B42388" w:rsidRDefault="007F0FB4" w:rsidP="001D0CCE">
      <w:pPr>
        <w:autoSpaceDE w:val="0"/>
        <w:autoSpaceDN w:val="0"/>
        <w:adjustRightInd w:val="0"/>
        <w:spacing w:beforeLines="50" w:before="156" w:afterLines="50" w:after="156" w:line="360" w:lineRule="auto"/>
        <w:ind w:leftChars="50" w:left="105" w:rightChars="50" w:right="105" w:firstLineChars="200" w:firstLine="480"/>
        <w:jc w:val="right"/>
        <w:rPr>
          <w:rFonts w:ascii="宋体" w:eastAsia="宋体" w:hAnsi="宋体"/>
          <w:sz w:val="24"/>
          <w:szCs w:val="28"/>
        </w:rPr>
      </w:pPr>
      <w:r w:rsidRPr="00FC61CE">
        <w:rPr>
          <w:rFonts w:ascii="宋体" w:eastAsia="宋体" w:hAnsi="宋体" w:hint="eastAsia"/>
          <w:color w:val="000000"/>
          <w:sz w:val="24"/>
        </w:rPr>
        <w:t>202</w:t>
      </w:r>
      <w:r w:rsidRPr="00FC61CE">
        <w:rPr>
          <w:rFonts w:ascii="宋体" w:eastAsia="宋体" w:hAnsi="宋体"/>
          <w:color w:val="000000"/>
          <w:sz w:val="24"/>
        </w:rPr>
        <w:t>1</w:t>
      </w:r>
      <w:r w:rsidRPr="00FC61CE">
        <w:rPr>
          <w:rFonts w:ascii="宋体" w:eastAsia="宋体" w:hAnsi="宋体" w:hint="eastAsia"/>
          <w:color w:val="000000"/>
          <w:sz w:val="24"/>
        </w:rPr>
        <w:t>年</w:t>
      </w:r>
      <w:r w:rsidRPr="00FC61CE">
        <w:rPr>
          <w:rFonts w:ascii="宋体" w:eastAsia="宋体" w:hAnsi="宋体"/>
          <w:color w:val="000000"/>
          <w:sz w:val="24"/>
        </w:rPr>
        <w:t>3</w:t>
      </w:r>
      <w:r w:rsidRPr="00FC61CE">
        <w:rPr>
          <w:rFonts w:ascii="宋体" w:eastAsia="宋体" w:hAnsi="宋体" w:hint="eastAsia"/>
          <w:color w:val="000000"/>
          <w:sz w:val="24"/>
        </w:rPr>
        <w:t>月</w:t>
      </w:r>
      <w:r w:rsidR="00FC61CE" w:rsidRPr="00FC61CE">
        <w:rPr>
          <w:rFonts w:ascii="宋体" w:eastAsia="宋体" w:hAnsi="宋体" w:hint="eastAsia"/>
          <w:color w:val="000000"/>
          <w:sz w:val="24"/>
        </w:rPr>
        <w:t>30</w:t>
      </w:r>
      <w:r w:rsidRPr="00FC61CE">
        <w:rPr>
          <w:rFonts w:ascii="宋体" w:eastAsia="宋体" w:hAnsi="宋体" w:hint="eastAsia"/>
          <w:color w:val="000000"/>
          <w:sz w:val="24"/>
        </w:rPr>
        <w:t>日</w:t>
      </w:r>
    </w:p>
    <w:sectPr w:rsidR="007F0FB4" w:rsidRPr="00B42388">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67628E" w14:textId="77777777" w:rsidR="0006618D" w:rsidRDefault="0006618D" w:rsidP="00EE3FF8">
      <w:r>
        <w:separator/>
      </w:r>
    </w:p>
  </w:endnote>
  <w:endnote w:type="continuationSeparator" w:id="0">
    <w:p w14:paraId="063EE4B0" w14:textId="77777777" w:rsidR="0006618D" w:rsidRDefault="0006618D" w:rsidP="00EE3F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WinCharSetFFFF-H">
    <w:altName w:val="方正舒体"/>
    <w:panose1 w:val="00000000000000000000"/>
    <w:charset w:val="86"/>
    <w:family w:val="auto"/>
    <w:notTrueType/>
    <w:pitch w:val="default"/>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7848847"/>
      <w:docPartObj>
        <w:docPartGallery w:val="Page Numbers (Bottom of Page)"/>
        <w:docPartUnique/>
      </w:docPartObj>
    </w:sdtPr>
    <w:sdtEndPr/>
    <w:sdtContent>
      <w:p w14:paraId="21B9DE99" w14:textId="3E410CEB" w:rsidR="00B42388" w:rsidRDefault="00B42388">
        <w:pPr>
          <w:pStyle w:val="a4"/>
          <w:jc w:val="center"/>
        </w:pPr>
        <w:r>
          <w:fldChar w:fldCharType="begin"/>
        </w:r>
        <w:r>
          <w:instrText>PAGE   \* MERGEFORMAT</w:instrText>
        </w:r>
        <w:r>
          <w:fldChar w:fldCharType="separate"/>
        </w:r>
        <w:r w:rsidR="00FC66F0" w:rsidRPr="00FC66F0">
          <w:rPr>
            <w:noProof/>
            <w:lang w:val="zh-CN"/>
          </w:rPr>
          <w:t>1</w:t>
        </w:r>
        <w:r>
          <w:fldChar w:fldCharType="end"/>
        </w:r>
      </w:p>
    </w:sdtContent>
  </w:sdt>
  <w:p w14:paraId="79A7E331" w14:textId="77777777" w:rsidR="00B42388" w:rsidRDefault="00B4238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2047A6" w14:textId="77777777" w:rsidR="0006618D" w:rsidRDefault="0006618D" w:rsidP="00EE3FF8">
      <w:r>
        <w:separator/>
      </w:r>
    </w:p>
  </w:footnote>
  <w:footnote w:type="continuationSeparator" w:id="0">
    <w:p w14:paraId="03AA3F30" w14:textId="77777777" w:rsidR="0006618D" w:rsidRDefault="0006618D" w:rsidP="00EE3F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D11AD1"/>
    <w:multiLevelType w:val="hybridMultilevel"/>
    <w:tmpl w:val="4F96A406"/>
    <w:lvl w:ilvl="0" w:tplc="FC60BC9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0466"/>
    <w:rsid w:val="0006618D"/>
    <w:rsid w:val="000744F7"/>
    <w:rsid w:val="00096326"/>
    <w:rsid w:val="00097E48"/>
    <w:rsid w:val="000D5B37"/>
    <w:rsid w:val="001D0CCE"/>
    <w:rsid w:val="00201A94"/>
    <w:rsid w:val="00213906"/>
    <w:rsid w:val="002A7096"/>
    <w:rsid w:val="002E5112"/>
    <w:rsid w:val="003211D5"/>
    <w:rsid w:val="0038610F"/>
    <w:rsid w:val="003B185E"/>
    <w:rsid w:val="00413982"/>
    <w:rsid w:val="004703D7"/>
    <w:rsid w:val="004D6450"/>
    <w:rsid w:val="005125A0"/>
    <w:rsid w:val="00531FD6"/>
    <w:rsid w:val="005B5F1E"/>
    <w:rsid w:val="005F125A"/>
    <w:rsid w:val="006E6A8B"/>
    <w:rsid w:val="007E7D4A"/>
    <w:rsid w:val="007F0FB4"/>
    <w:rsid w:val="0086351C"/>
    <w:rsid w:val="0086453A"/>
    <w:rsid w:val="0091560C"/>
    <w:rsid w:val="00945217"/>
    <w:rsid w:val="009659B6"/>
    <w:rsid w:val="00A004EB"/>
    <w:rsid w:val="00A27781"/>
    <w:rsid w:val="00A47765"/>
    <w:rsid w:val="00AA5F55"/>
    <w:rsid w:val="00B00466"/>
    <w:rsid w:val="00B42388"/>
    <w:rsid w:val="00BD5998"/>
    <w:rsid w:val="00C03E15"/>
    <w:rsid w:val="00C54120"/>
    <w:rsid w:val="00CA2FDF"/>
    <w:rsid w:val="00CB70AC"/>
    <w:rsid w:val="00DC689A"/>
    <w:rsid w:val="00E345FE"/>
    <w:rsid w:val="00E41620"/>
    <w:rsid w:val="00EE3FF8"/>
    <w:rsid w:val="00EE5636"/>
    <w:rsid w:val="00F51EC9"/>
    <w:rsid w:val="00FC45DF"/>
    <w:rsid w:val="00FC61CE"/>
    <w:rsid w:val="00FC66F0"/>
    <w:rsid w:val="00FE3EEF"/>
    <w:rsid w:val="00FF63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3FF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E3F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E3FF8"/>
    <w:rPr>
      <w:sz w:val="18"/>
      <w:szCs w:val="18"/>
    </w:rPr>
  </w:style>
  <w:style w:type="paragraph" w:styleId="a4">
    <w:name w:val="footer"/>
    <w:basedOn w:val="a"/>
    <w:link w:val="Char0"/>
    <w:uiPriority w:val="99"/>
    <w:unhideWhenUsed/>
    <w:rsid w:val="00EE3FF8"/>
    <w:pPr>
      <w:tabs>
        <w:tab w:val="center" w:pos="4153"/>
        <w:tab w:val="right" w:pos="8306"/>
      </w:tabs>
      <w:snapToGrid w:val="0"/>
      <w:jc w:val="left"/>
    </w:pPr>
    <w:rPr>
      <w:sz w:val="18"/>
      <w:szCs w:val="18"/>
    </w:rPr>
  </w:style>
  <w:style w:type="character" w:customStyle="1" w:styleId="Char0">
    <w:name w:val="页脚 Char"/>
    <w:basedOn w:val="a0"/>
    <w:link w:val="a4"/>
    <w:uiPriority w:val="99"/>
    <w:rsid w:val="00EE3FF8"/>
    <w:rPr>
      <w:sz w:val="18"/>
      <w:szCs w:val="18"/>
    </w:rPr>
  </w:style>
  <w:style w:type="paragraph" w:styleId="a5">
    <w:name w:val="List Paragraph"/>
    <w:basedOn w:val="a"/>
    <w:uiPriority w:val="34"/>
    <w:qFormat/>
    <w:rsid w:val="0091560C"/>
    <w:pPr>
      <w:ind w:firstLineChars="200" w:firstLine="420"/>
    </w:pPr>
  </w:style>
  <w:style w:type="paragraph" w:styleId="a6">
    <w:name w:val="Plain Text"/>
    <w:aliases w:val="普通文字,纯文本 Char Char,纯文本 Char Char Char Char,纯文本 Char Char Char,Char4 Char,Char1 Char,Char4 Char Char Char,表正文 Char,正文非缩进 Char,纯文本 Char1 Char,纯文本 Char1 Char Char Char,Char Char2 Char Char Char,纯文本 Char Char1 Char Char Char,纯文本 Char Char Cha,Char1"/>
    <w:basedOn w:val="a"/>
    <w:link w:val="Char1"/>
    <w:rsid w:val="00945217"/>
    <w:pPr>
      <w:adjustRightInd w:val="0"/>
      <w:textAlignment w:val="baseline"/>
    </w:pPr>
    <w:rPr>
      <w:rFonts w:ascii="宋体" w:eastAsia="宋体" w:hAnsi="Courier New" w:cs="Times New Roman"/>
      <w:szCs w:val="21"/>
    </w:rPr>
  </w:style>
  <w:style w:type="character" w:customStyle="1" w:styleId="Char1">
    <w:name w:val="纯文本 Char"/>
    <w:aliases w:val="普通文字 Char,纯文本 Char Char Char1,纯文本 Char Char Char Char Char,纯文本 Char Char Char Char1,Char4 Char Char,Char1 Char Char,Char4 Char Char Char Char,表正文 Char Char,正文非缩进 Char Char,纯文本 Char1 Char Char,纯文本 Char1 Char Char Char Char,纯文本 Char Char Cha Char"/>
    <w:basedOn w:val="a0"/>
    <w:link w:val="a6"/>
    <w:rsid w:val="00945217"/>
    <w:rPr>
      <w:rFonts w:ascii="宋体" w:eastAsia="宋体" w:hAnsi="Courier New" w:cs="Times New Roman"/>
      <w:szCs w:val="21"/>
    </w:rPr>
  </w:style>
  <w:style w:type="character" w:styleId="a7">
    <w:name w:val="Strong"/>
    <w:uiPriority w:val="22"/>
    <w:qFormat/>
    <w:rsid w:val="00B42388"/>
    <w:rPr>
      <w:b/>
      <w:bCs/>
    </w:rPr>
  </w:style>
  <w:style w:type="paragraph" w:styleId="a8">
    <w:name w:val="Balloon Text"/>
    <w:basedOn w:val="a"/>
    <w:link w:val="Char2"/>
    <w:uiPriority w:val="99"/>
    <w:semiHidden/>
    <w:unhideWhenUsed/>
    <w:rsid w:val="009659B6"/>
    <w:rPr>
      <w:sz w:val="18"/>
      <w:szCs w:val="18"/>
    </w:rPr>
  </w:style>
  <w:style w:type="character" w:customStyle="1" w:styleId="Char2">
    <w:name w:val="批注框文本 Char"/>
    <w:basedOn w:val="a0"/>
    <w:link w:val="a8"/>
    <w:uiPriority w:val="99"/>
    <w:semiHidden/>
    <w:rsid w:val="009659B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E3F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E3FF8"/>
    <w:rPr>
      <w:sz w:val="18"/>
      <w:szCs w:val="18"/>
    </w:rPr>
  </w:style>
  <w:style w:type="paragraph" w:styleId="a4">
    <w:name w:val="footer"/>
    <w:basedOn w:val="a"/>
    <w:link w:val="Char0"/>
    <w:uiPriority w:val="99"/>
    <w:unhideWhenUsed/>
    <w:rsid w:val="00EE3FF8"/>
    <w:pPr>
      <w:tabs>
        <w:tab w:val="center" w:pos="4153"/>
        <w:tab w:val="right" w:pos="8306"/>
      </w:tabs>
      <w:snapToGrid w:val="0"/>
      <w:jc w:val="left"/>
    </w:pPr>
    <w:rPr>
      <w:sz w:val="18"/>
      <w:szCs w:val="18"/>
    </w:rPr>
  </w:style>
  <w:style w:type="character" w:customStyle="1" w:styleId="Char0">
    <w:name w:val="页脚 Char"/>
    <w:basedOn w:val="a0"/>
    <w:link w:val="a4"/>
    <w:uiPriority w:val="99"/>
    <w:rsid w:val="00EE3FF8"/>
    <w:rPr>
      <w:sz w:val="18"/>
      <w:szCs w:val="18"/>
    </w:rPr>
  </w:style>
  <w:style w:type="paragraph" w:styleId="a5">
    <w:name w:val="List Paragraph"/>
    <w:basedOn w:val="a"/>
    <w:uiPriority w:val="34"/>
    <w:qFormat/>
    <w:rsid w:val="0091560C"/>
    <w:pPr>
      <w:ind w:firstLineChars="200" w:firstLine="420"/>
    </w:pPr>
  </w:style>
  <w:style w:type="paragraph" w:styleId="a6">
    <w:name w:val="Plain Text"/>
    <w:aliases w:val="普通文字,纯文本 Char Char,纯文本 Char Char Char Char,纯文本 Char Char Char,Char4 Char,Char1 Char,Char4 Char Char Char,表正文 Char,正文非缩进 Char,纯文本 Char1 Char,纯文本 Char1 Char Char Char,Char Char2 Char Char Char,纯文本 Char Char1 Char Char Char,纯文本 Char Char Cha,Char1"/>
    <w:basedOn w:val="a"/>
    <w:link w:val="Char1"/>
    <w:rsid w:val="00945217"/>
    <w:pPr>
      <w:adjustRightInd w:val="0"/>
      <w:textAlignment w:val="baseline"/>
    </w:pPr>
    <w:rPr>
      <w:rFonts w:ascii="宋体" w:eastAsia="宋体" w:hAnsi="Courier New" w:cs="Times New Roman"/>
      <w:szCs w:val="21"/>
    </w:rPr>
  </w:style>
  <w:style w:type="character" w:customStyle="1" w:styleId="Char1">
    <w:name w:val="纯文本 Char"/>
    <w:aliases w:val="普通文字 Char,纯文本 Char Char Char1,纯文本 Char Char Char Char Char,纯文本 Char Char Char Char1,Char4 Char Char,Char1 Char Char,Char4 Char Char Char Char,表正文 Char Char,正文非缩进 Char Char,纯文本 Char1 Char Char,纯文本 Char1 Char Char Char Char,纯文本 Char Char Cha Char"/>
    <w:basedOn w:val="a0"/>
    <w:link w:val="a6"/>
    <w:rsid w:val="00945217"/>
    <w:rPr>
      <w:rFonts w:ascii="宋体" w:eastAsia="宋体" w:hAnsi="Courier New" w:cs="Times New Roman"/>
      <w:szCs w:val="21"/>
    </w:rPr>
  </w:style>
  <w:style w:type="character" w:styleId="a7">
    <w:name w:val="Strong"/>
    <w:uiPriority w:val="22"/>
    <w:qFormat/>
    <w:rsid w:val="00B42388"/>
    <w:rPr>
      <w:b/>
      <w:bCs/>
    </w:rPr>
  </w:style>
  <w:style w:type="paragraph" w:styleId="a8">
    <w:name w:val="Balloon Text"/>
    <w:basedOn w:val="a"/>
    <w:link w:val="Char2"/>
    <w:uiPriority w:val="99"/>
    <w:semiHidden/>
    <w:unhideWhenUsed/>
    <w:rsid w:val="009659B6"/>
    <w:rPr>
      <w:sz w:val="18"/>
      <w:szCs w:val="18"/>
    </w:rPr>
  </w:style>
  <w:style w:type="character" w:customStyle="1" w:styleId="Char2">
    <w:name w:val="批注框文本 Char"/>
    <w:basedOn w:val="a0"/>
    <w:link w:val="a8"/>
    <w:uiPriority w:val="99"/>
    <w:semiHidden/>
    <w:rsid w:val="009659B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314</Words>
  <Characters>1794</Characters>
  <Application>Microsoft Office Word</Application>
  <DocSecurity>0</DocSecurity>
  <Lines>14</Lines>
  <Paragraphs>4</Paragraphs>
  <ScaleCrop>false</ScaleCrop>
  <Company>SCCM-CORE-01</Company>
  <LinksUpToDate>false</LinksUpToDate>
  <CharactersWithSpaces>2104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Guo Xinyue</dc:creator>
  <cp:lastModifiedBy>wangqingyu     王清宇</cp:lastModifiedBy>
  <cp:revision>3</cp:revision>
  <dcterms:created xsi:type="dcterms:W3CDTF">2021-03-29T08:22:00Z</dcterms:created>
  <dcterms:modified xsi:type="dcterms:W3CDTF">2021-03-29T08:25:00Z</dcterms:modified>
</cp:coreProperties>
</file>